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Prilog 1A</w:t>
      </w:r>
    </w:p>
    <w:p>
      <w:pPr>
        <w:pStyle w:val="Normal"/>
        <w:rPr/>
      </w:pPr>
      <w:r>
        <w:rPr/>
      </w:r>
    </w:p>
    <w:p>
      <w:pPr>
        <w:pStyle w:val="Normal"/>
        <w:rPr>
          <w:sz w:val="32"/>
          <w:szCs w:val="32"/>
        </w:rPr>
      </w:pPr>
      <w:r>
        <w:rPr>
          <w:b/>
          <w:bCs/>
          <w:sz w:val="32"/>
          <w:szCs w:val="32"/>
        </w:rPr>
        <w:t>SPECIFIKACIJA PROIZVODA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  <w:sz w:val="24"/>
          <w:szCs w:val="24"/>
        </w:rPr>
        <w:t>NAZIV PROIZVODA:  RIŽA</w:t>
      </w:r>
    </w:p>
    <w:p>
      <w:pPr>
        <w:pStyle w:val="Normal"/>
        <w:rPr/>
      </w:pPr>
      <w:r>
        <w:rPr>
          <w:b/>
          <w:bCs/>
          <w:sz w:val="24"/>
          <w:szCs w:val="24"/>
        </w:rPr>
        <w:t>VRSTA PROIZVODA:</w:t>
      </w:r>
    </w:p>
    <w:p>
      <w:pPr>
        <w:pStyle w:val="Normal"/>
        <w:rPr/>
      </w:pPr>
      <w:r>
        <w:rPr/>
        <w:t xml:space="preserve">BIJELA RIŽA  -  </w:t>
      </w:r>
      <w:r>
        <w:rPr/>
        <w:t xml:space="preserve">SREDNJE </w:t>
      </w:r>
      <w:r>
        <w:rPr/>
        <w:t>DUGO ZRNO</w:t>
      </w:r>
    </w:p>
    <w:p>
      <w:pPr>
        <w:pStyle w:val="Normal"/>
        <w:spacing w:before="0" w:after="103"/>
        <w:rPr/>
      </w:pPr>
      <w:r>
        <w:rPr/>
        <w:t xml:space="preserve">INTEGRALNA RIŽA </w:t>
      </w:r>
    </w:p>
    <w:p>
      <w:pPr>
        <w:pStyle w:val="Normal"/>
        <w:rPr/>
      </w:pPr>
      <w:r>
        <w:rPr>
          <w:b/>
          <w:bCs/>
          <w:sz w:val="24"/>
          <w:szCs w:val="24"/>
        </w:rPr>
        <w:t>PROPISI:</w:t>
      </w:r>
    </w:p>
    <w:p>
      <w:pPr>
        <w:pStyle w:val="Normal"/>
        <w:rPr/>
      </w:pPr>
      <w:r>
        <w:rPr/>
        <w:t>Važeći propisi RH o kakvoći i sigurnosti na dan isporuke proizvoda</w:t>
      </w:r>
    </w:p>
    <w:p>
      <w:pPr>
        <w:pStyle w:val="Normal"/>
        <w:rPr/>
      </w:pPr>
      <w:r>
        <w:rPr>
          <w:b/>
          <w:bCs/>
          <w:sz w:val="24"/>
          <w:szCs w:val="24"/>
        </w:rPr>
        <w:t>DEKLARACIJA:</w:t>
      </w:r>
    </w:p>
    <w:p>
      <w:pPr>
        <w:pStyle w:val="Normal"/>
        <w:rPr/>
      </w:pPr>
      <w:r>
        <w:rPr/>
        <w:t>Uredba (EU) br. 1169/2011 o informiranju potrošača o hrani</w:t>
      </w:r>
    </w:p>
    <w:p>
      <w:pPr>
        <w:pStyle w:val="Normal"/>
        <w:rPr/>
      </w:pPr>
      <w:r>
        <w:rPr/>
        <w:t>/ Zakon o informiranju potrošača o hrani (Narodne novine, br.56/2013 i 14/2014).</w: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/>
      </w:pPr>
      <w:r>
        <w:rPr>
          <w:b/>
          <w:bCs/>
          <w:sz w:val="24"/>
          <w:szCs w:val="24"/>
        </w:rPr>
        <w:t>DOKUMENTACIJA:</w:t>
      </w:r>
    </w:p>
    <w:p>
      <w:pPr>
        <w:pStyle w:val="Normal"/>
        <w:spacing w:before="0" w:after="0"/>
        <w:jc w:val="both"/>
        <w:rPr/>
      </w:pPr>
      <w:r>
        <w:rPr/>
        <w:t xml:space="preserve">Ponuditelj obvezno mora dokazati da ima implementiran jedan od sustava za osiguranje kvalitete i upravljanje sigurnošću hrane koji se koristi u prehrambenoj industriji (HACCP, ISO 22000:2005 ili neki drugi sustav koji koristi prehrambena industrija) u koju svrhu mora dostaviti rješenje/ odobrenje nadležnog ministarstva da subjekt u poslovanju s hranom ima integriran HACCP sustav samokontrole </w:t>
      </w:r>
    </w:p>
    <w:p>
      <w:pPr>
        <w:pStyle w:val="Normal"/>
        <w:jc w:val="both"/>
        <w:rPr/>
      </w:pPr>
      <w:r>
        <w:rPr/>
        <w:t xml:space="preserve">( analiza opasnosti na ključnim kontrolnim točkama ) sukladno Zakonu o hrani (NN 81/13) i Zakonu o higijeni hrane i mikrobiološkim kriterijima za hranu (NN 81/13). </w:t>
      </w:r>
    </w:p>
    <w:p>
      <w:pPr>
        <w:pStyle w:val="Normal"/>
        <w:jc w:val="both"/>
        <w:rPr/>
      </w:pPr>
      <w:r>
        <w:rPr/>
        <w:t xml:space="preserve">Gospodarski subjekt može dostaviti i jednakovrijednu potvrdu ovlaštene tvrtke za certificiranje o uvedenom HACCP sustavu upravljanja ili nekom drugom sustavu za kvalitetu i sigurnost hrane koji se primjenjuje u prehrambenoj industriji – npr. HACCP, ISO 22000:2005, IFS Food ili drugi sustav koji koristi prehrambena industrija. </w:t>
      </w:r>
    </w:p>
    <w:p>
      <w:pPr>
        <w:pStyle w:val="Normal"/>
        <w:jc w:val="both"/>
        <w:rPr/>
      </w:pPr>
      <w:r>
        <w:rPr/>
        <w:t>Važeće rješenje/odobrenje/potvrda dostavlja se u presliku.</w:t>
      </w:r>
    </w:p>
    <w:p>
      <w:pPr>
        <w:pStyle w:val="Normal"/>
        <w:jc w:val="both"/>
        <w:rPr/>
      </w:pPr>
      <w:r>
        <w:rPr/>
        <w:t>Specifikacija za ambalažu(validacijski ispitni izvještaj da ambalaža u koju se pakira hrana je zdravstveno ispravna).</w:t>
      </w:r>
    </w:p>
    <w:p>
      <w:pPr>
        <w:pStyle w:val="Normal"/>
        <w:jc w:val="both"/>
        <w:rPr/>
      </w:pPr>
      <w:r>
        <w:rPr/>
        <w:t xml:space="preserve">Specifikacije za sve proizvode na hrvatskom jeziku. </w:t>
      </w:r>
    </w:p>
    <w:p>
      <w:pPr>
        <w:pStyle w:val="Normal"/>
        <w:jc w:val="both"/>
        <w:rPr/>
      </w:pPr>
      <w:r>
        <w:rPr/>
        <w:t>Sanitarna knjižica i položen tečaj o higijenskom minimumu, osobe koja manipulira sa hranom (vozač) prema Zakonu o zaštiti pučanstva od zaraznih bolesti(NN 79/07; 113/08; 43/09; 130/2017).</w:t>
      </w:r>
    </w:p>
    <w:p>
      <w:pPr>
        <w:pStyle w:val="Normal"/>
        <w:jc w:val="both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ROK UPOTREBE:</w:t>
      </w:r>
    </w:p>
    <w:p>
      <w:pPr>
        <w:pStyle w:val="Normal"/>
        <w:rPr/>
      </w:pPr>
      <w:r>
        <w:rPr/>
        <w:t>Najmanje 6 mjeseci od dana isporuke</w:t>
      </w:r>
    </w:p>
    <w:p>
      <w:pPr>
        <w:pStyle w:val="Normal"/>
        <w:rPr/>
      </w:pPr>
      <w:r>
        <w:rPr>
          <w:b/>
          <w:bCs/>
          <w:sz w:val="24"/>
          <w:szCs w:val="24"/>
        </w:rPr>
        <w:t>PAKIRANJE:</w:t>
      </w:r>
    </w:p>
    <w:p>
      <w:pPr>
        <w:pStyle w:val="Normal"/>
        <w:rPr/>
      </w:pPr>
      <w:r>
        <w:rPr/>
        <w:t>Namjenska kontaktna ambalaža; pakiranje u vreće od 5kg (bijela riža)</w:t>
      </w:r>
    </w:p>
    <w:p>
      <w:pPr>
        <w:pStyle w:val="Normal"/>
        <w:rPr/>
      </w:pPr>
      <w:r>
        <w:rPr/>
        <w:t xml:space="preserve"> </w:t>
      </w:r>
      <w:r>
        <w:rPr/>
        <w:t>Pakiranje 1kg – integralna riža</w:t>
      </w:r>
    </w:p>
    <w:p>
      <w:pPr>
        <w:pStyle w:val="Normal"/>
        <w:rPr/>
      </w:pPr>
      <w:r>
        <w:rPr>
          <w:b/>
          <w:bCs/>
          <w:sz w:val="24"/>
          <w:szCs w:val="24"/>
        </w:rPr>
        <w:t>TRANSPORT :</w:t>
      </w:r>
    </w:p>
    <w:p>
      <w:pPr>
        <w:pStyle w:val="Normal"/>
        <w:rPr/>
      </w:pPr>
      <w:r>
        <w:rPr/>
        <w:t xml:space="preserve">   • </w:t>
      </w:r>
      <w:r>
        <w:rPr/>
        <w:t>Uvjetno prijevozno sredstvo:</w:t>
      </w:r>
    </w:p>
    <w:p>
      <w:pPr>
        <w:pStyle w:val="Normal"/>
        <w:rPr/>
      </w:pPr>
      <w:r>
        <w:rPr/>
        <w:t xml:space="preserve">- opće higijensko stanje, </w:t>
      </w:r>
    </w:p>
    <w:p>
      <w:pPr>
        <w:pStyle w:val="Normal"/>
        <w:rPr/>
      </w:pPr>
      <w:r>
        <w:rPr/>
        <w:t>- robno susjedstvo hrane</w:t>
      </w:r>
    </w:p>
    <w:p>
      <w:pPr>
        <w:pStyle w:val="Normal"/>
        <w:rPr/>
      </w:pPr>
      <w:r>
        <w:rPr>
          <w:b/>
          <w:bCs/>
          <w:sz w:val="24"/>
          <w:szCs w:val="24"/>
        </w:rPr>
        <w:t xml:space="preserve">DINAMIKA ISPORUKE:   </w:t>
      </w:r>
      <w:r>
        <w:rPr/>
        <w:t>Jednom tjedno</w:t>
      </w:r>
    </w:p>
    <w:p>
      <w:pPr>
        <w:pStyle w:val="Normal"/>
        <w:rPr/>
      </w:pPr>
      <w:r>
        <w:rPr>
          <w:b/>
          <w:bCs/>
          <w:sz w:val="24"/>
          <w:szCs w:val="24"/>
        </w:rPr>
        <w:t>OSTALI ZAHTJEVI:</w:t>
      </w:r>
    </w:p>
    <w:p>
      <w:pPr>
        <w:pStyle w:val="Normal"/>
        <w:rPr/>
      </w:pPr>
      <w:r>
        <w:rPr/>
        <w:t>Ugovor o nabavi</w:t>
      </w:r>
    </w:p>
    <w:p>
      <w:pPr>
        <w:pStyle w:val="Normal"/>
        <w:rPr/>
      </w:pPr>
      <w:r>
        <w:rPr/>
        <w:t>Implementiran HACCP sustav</w:t>
      </w:r>
    </w:p>
    <w:p>
      <w:pPr>
        <w:pStyle w:val="Normal"/>
        <w:rPr/>
      </w:pPr>
      <w:r>
        <w:rPr/>
        <w:t xml:space="preserve"> </w:t>
      </w:r>
      <w:r>
        <w:rPr/>
        <w:t>Karakteristike: bez glutena</w: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NAPOMENA:</w:t>
      </w:r>
    </w:p>
    <w:p>
      <w:pPr>
        <w:pStyle w:val="Normal"/>
        <w:jc w:val="both"/>
        <w:rPr/>
      </w:pPr>
      <w:r>
        <w:rPr/>
        <w:t>Specifikacija je sastavni dio Ugovora o nabavi i predstavlja prihvaćanje zahtjeva Naručitelja u pogledu kakvoće i sigurnosti hrane tijekom provedbe nadmetanja i trajanja ugovorne obaveze. Moguće naknadne izmjene i dopune  navedenih propisa obavezuju Dobavljača na usklađenje i postupanje.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                       </w:t>
      </w:r>
      <w:r>
        <w:rPr/>
        <w:t>OVJERA PONUDITELJA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            </w:t>
      </w:r>
      <w:r>
        <w:rPr/>
        <w:t>__________________________________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417" w:right="1417" w:header="708" w:top="1417" w:footer="0" w:bottom="1417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center"/>
      <w:rPr/>
    </w:pPr>
    <w:r>
      <w:rPr/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-873760</wp:posOffset>
          </wp:positionH>
          <wp:positionV relativeFrom="paragraph">
            <wp:posOffset>-440055</wp:posOffset>
          </wp:positionV>
          <wp:extent cx="7534275" cy="10655935"/>
          <wp:effectExtent l="0" t="0" r="0" b="0"/>
          <wp:wrapNone/>
          <wp:docPr id="1" name="Picture 1" descr="A white paper with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white paper with black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-873125</wp:posOffset>
          </wp:positionH>
          <wp:positionV relativeFrom="paragraph">
            <wp:posOffset>-105410</wp:posOffset>
          </wp:positionV>
          <wp:extent cx="7533640" cy="10655935"/>
          <wp:effectExtent l="0" t="0" r="0" b="0"/>
          <wp:wrapNone/>
          <wp:docPr id="2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3640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hr-HR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kern w:val="2"/>
        <w:szCs w:val="22"/>
        <w:lang w:val="hr-HR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2"/>
      <w:sz w:val="22"/>
      <w:szCs w:val="22"/>
      <w:lang w:val="hr-HR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075b"/>
    <w:pPr>
      <w:keepNext w:val="true"/>
      <w:keepLines/>
      <w:spacing w:before="360" w:after="80"/>
      <w:outlineLvl w:val="0"/>
    </w:pPr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075b"/>
    <w:pPr>
      <w:keepNext w:val="true"/>
      <w:keepLines/>
      <w:spacing w:before="160" w:after="80"/>
      <w:outlineLvl w:val="1"/>
    </w:pPr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075b"/>
    <w:pPr>
      <w:keepNext w:val="true"/>
      <w:keepLines/>
      <w:spacing w:before="160" w:after="80"/>
      <w:outlineLvl w:val="2"/>
    </w:pPr>
    <w:rPr>
      <w:rFonts w:eastAsia="" w:cs="Times New Roman" w:cstheme="majorBidi" w:eastAsiaTheme="majorEastAsia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075b"/>
    <w:pPr>
      <w:keepNext w:val="true"/>
      <w:keepLines/>
      <w:spacing w:before="80" w:after="40"/>
      <w:outlineLvl w:val="3"/>
    </w:pPr>
    <w:rPr>
      <w:rFonts w:eastAsia="" w:cs="Times New Roman" w:cstheme="majorBidi" w:eastAsiaTheme="majorEastAsia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075b"/>
    <w:pPr>
      <w:keepNext w:val="true"/>
      <w:keepLines/>
      <w:spacing w:before="80" w:after="40"/>
      <w:outlineLvl w:val="4"/>
    </w:pPr>
    <w:rPr>
      <w:rFonts w:eastAsia="" w:cs="Times New Roman" w:cstheme="majorBidi" w:eastAsiaTheme="majorEastAsia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075b"/>
    <w:pPr>
      <w:keepNext w:val="true"/>
      <w:keepLines/>
      <w:spacing w:before="40" w:after="0"/>
      <w:outlineLvl w:val="5"/>
    </w:pPr>
    <w:rPr>
      <w:rFonts w:eastAsia="" w:cs="Times New Roman" w:cstheme="majorBidi" w:eastAsiaTheme="majorEastAsia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075b"/>
    <w:pPr>
      <w:keepNext w:val="true"/>
      <w:keepLines/>
      <w:spacing w:before="40" w:after="0"/>
      <w:outlineLvl w:val="6"/>
    </w:pPr>
    <w:rPr>
      <w:rFonts w:eastAsia="" w:cs="Times New Roman" w:cstheme="majorBidi" w:eastAsiaTheme="majorEastAsia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075b"/>
    <w:pPr>
      <w:keepNext w:val="true"/>
      <w:keepLines/>
      <w:spacing w:before="0" w:after="0"/>
      <w:outlineLvl w:val="7"/>
    </w:pPr>
    <w:rPr>
      <w:rFonts w:eastAsia="" w:cs="Times New Roman" w:cstheme="majorBidi" w:eastAsiaTheme="majorEastAsia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075b"/>
    <w:pPr>
      <w:keepNext w:val="true"/>
      <w:keepLines/>
      <w:spacing w:before="0" w:after="0"/>
      <w:outlineLvl w:val="8"/>
    </w:pPr>
    <w:rPr>
      <w:rFonts w:eastAsia="" w:cs="Times New Roman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8e075b"/>
    <w:rPr>
      <w:rFonts w:eastAsia="" w:cs="Times New Roman" w:cstheme="majorBidi" w:eastAsiaTheme="majorEastAsia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8e075b"/>
    <w:rPr>
      <w:rFonts w:eastAsia="" w:cs="Times New Roman" w:cstheme="majorBidi" w:eastAsiaTheme="majorEastAsia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8e075b"/>
    <w:rPr>
      <w:rFonts w:eastAsia="" w:cs="Times New Roman" w:cstheme="majorBidi" w:eastAsiaTheme="majorEastAsia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8e075b"/>
    <w:rPr>
      <w:rFonts w:eastAsia="" w:cs="Times New Roman" w:cstheme="majorBidi" w:eastAsiaTheme="majorEastAsia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8e075b"/>
    <w:rPr>
      <w:rFonts w:eastAsia="" w:cs="Times New Roman" w:cstheme="majorBidi" w:eastAsiaTheme="majorEastAsia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8e075b"/>
    <w:rPr>
      <w:rFonts w:eastAsia="" w:cs="Times New Roman" w:cstheme="majorBidi" w:eastAsiaTheme="majorEastAsia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8e075b"/>
    <w:rPr>
      <w:rFonts w:eastAsia="" w:cs="Times New Roman" w:cstheme="majorBidi" w:eastAsiaTheme="majorEastAsia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e075b"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character" w:styleId="QuoteChar" w:customStyle="1">
    <w:name w:val="Quote Char"/>
    <w:basedOn w:val="DefaultParagraphFont"/>
    <w:link w:val="Quote"/>
    <w:uiPriority w:val="29"/>
    <w:qFormat/>
    <w:rsid w:val="008e075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e075b"/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8e075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075b"/>
    <w:rPr>
      <w:b/>
      <w:bCs/>
      <w:smallCaps/>
      <w:color w:val="2F5496" w:themeColor="accent1" w:themeShade="bf"/>
      <w:spacing w:val="5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8e075b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8e075b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TitleChar"/>
    <w:uiPriority w:val="10"/>
    <w:qFormat/>
    <w:rsid w:val="008e075b"/>
    <w:pPr>
      <w:spacing w:lineRule="auto" w:line="240" w:before="0" w:after="80"/>
      <w:contextualSpacing/>
    </w:pPr>
    <w:rPr>
      <w:rFonts w:ascii="Calibri Light" w:hAnsi="Calibri Light" w:eastAsia="" w:cs="Times New Roman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075b"/>
    <w:pPr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075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075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rsid w:val="008e075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2">
    <w:name w:val="WW8Num12"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LibreOffice/6.3.2.2$Windows_X86_64 LibreOffice_project/98b30e735bda24bc04ab42594c85f7fd8be07b9c</Application>
  <Pages>2</Pages>
  <Words>324</Words>
  <Characters>2072</Characters>
  <CharactersWithSpaces>2569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2024-01-25T11:12:00Z</dcterms:created>
  <dc:creator>Miran Husak</dc:creator>
  <dc:description/>
  <dc:language>hr-HR</dc:language>
  <cp:lastModifiedBy/>
  <dcterms:modified xsi:type="dcterms:W3CDTF">2024-03-28T11:08:43Z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